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2">
            <w:pPr>
              <w:widowControl w:val="0"/>
              <w:spacing w:line="240" w:lineRule="auto"/>
              <w:rPr>
                <w:b w:val="1"/>
                <w:sz w:val="28"/>
                <w:szCs w:val="28"/>
              </w:rPr>
            </w:pPr>
            <w:r w:rsidDel="00000000" w:rsidR="00000000" w:rsidRPr="00000000">
              <w:rPr>
                <w:b w:val="1"/>
                <w:sz w:val="28"/>
                <w:szCs w:val="28"/>
                <w:rtl w:val="0"/>
              </w:rPr>
              <w:t xml:space="preserve">Dulux Szybka Odnowa KALORYFERY - wodorozcieńczalna farba do malowania CZARNY 0,75L</w:t>
            </w:r>
          </w:p>
          <w:p w:rsidR="00000000" w:rsidDel="00000000" w:rsidP="00000000" w:rsidRDefault="00000000" w:rsidRPr="00000000" w14:paraId="00000003">
            <w:pPr>
              <w:widowControl w:val="0"/>
              <w:spacing w:line="240" w:lineRule="auto"/>
              <w:rPr/>
            </w:pPr>
            <w:r w:rsidDel="00000000" w:rsidR="00000000" w:rsidRPr="00000000">
              <w:rPr>
                <w:rtl w:val="0"/>
              </w:rPr>
            </w:r>
          </w:p>
          <w:p w:rsidR="00000000" w:rsidDel="00000000" w:rsidP="00000000" w:rsidRDefault="00000000" w:rsidRPr="00000000" w14:paraId="00000004">
            <w:pPr>
              <w:widowControl w:val="0"/>
              <w:spacing w:line="240" w:lineRule="auto"/>
              <w:rPr>
                <w:sz w:val="16"/>
                <w:szCs w:val="16"/>
              </w:rPr>
            </w:pPr>
            <w:r w:rsidDel="00000000" w:rsidR="00000000" w:rsidRPr="00000000">
              <w:rPr>
                <w:rtl w:val="0"/>
              </w:rPr>
              <w:t xml:space="preserve">Dulux Szybka Odnowa KALORYFERY to wodorozcieńczalna farba do </w:t>
            </w:r>
            <w:r w:rsidDel="00000000" w:rsidR="00000000" w:rsidRPr="00000000">
              <w:rPr>
                <w:b w:val="1"/>
                <w:rtl w:val="0"/>
              </w:rPr>
              <w:t xml:space="preserve">renowacyjnego malowania kaloryferów</w:t>
            </w:r>
            <w:r w:rsidDel="00000000" w:rsidR="00000000" w:rsidRPr="00000000">
              <w:rPr>
                <w:rtl w:val="0"/>
              </w:rPr>
              <w:t xml:space="preserve"> (żeliwnych, aluminiowych, miedzianych). Jest łatwa w użyciu, ponieważ nie potrzebujesz podkładu. Farba przeznaczona jest </w:t>
            </w:r>
            <w:r w:rsidDel="00000000" w:rsidR="00000000" w:rsidRPr="00000000">
              <w:rPr>
                <w:b w:val="1"/>
                <w:rtl w:val="0"/>
              </w:rPr>
              <w:t xml:space="preserve">do użytku wewnątrz pomieszczeń</w:t>
            </w:r>
            <w:r w:rsidDel="00000000" w:rsidR="00000000" w:rsidRPr="00000000">
              <w:rPr>
                <w:rtl w:val="0"/>
              </w:rPr>
              <w:t xml:space="preserve">. Tworzy powłokę odporną na wysoką temperaturę i zmianę koloru pod wpływem ciepła.</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b w:val="1"/>
                <w:sz w:val="24"/>
                <w:szCs w:val="24"/>
              </w:rPr>
            </w:pPr>
            <w:r w:rsidDel="00000000" w:rsidR="00000000" w:rsidRPr="00000000">
              <w:rPr>
                <w:b w:val="1"/>
                <w:sz w:val="24"/>
                <w:szCs w:val="24"/>
                <w:rtl w:val="0"/>
              </w:rPr>
              <w:t xml:space="preserve">Zastosowanie</w:t>
            </w:r>
          </w:p>
          <w:p w:rsidR="00000000" w:rsidDel="00000000" w:rsidP="00000000" w:rsidRDefault="00000000" w:rsidRPr="00000000" w14:paraId="00000008">
            <w:pPr>
              <w:widowControl w:val="0"/>
              <w:spacing w:line="240" w:lineRule="auto"/>
              <w:rPr/>
            </w:pPr>
            <w:r w:rsidDel="00000000" w:rsidR="00000000" w:rsidRPr="00000000">
              <w:rPr>
                <w:rtl w:val="0"/>
              </w:rPr>
            </w:r>
          </w:p>
          <w:p w:rsidR="00000000" w:rsidDel="00000000" w:rsidP="00000000" w:rsidRDefault="00000000" w:rsidRPr="00000000" w14:paraId="00000009">
            <w:pPr>
              <w:widowControl w:val="0"/>
              <w:spacing w:line="240" w:lineRule="auto"/>
              <w:rPr/>
            </w:pPr>
            <w:r w:rsidDel="00000000" w:rsidR="00000000" w:rsidRPr="00000000">
              <w:rPr>
                <w:rtl w:val="0"/>
              </w:rPr>
              <w:t xml:space="preserve">Może być stosowana bezpośrednio na malowane wcześniej </w:t>
            </w:r>
            <w:r w:rsidDel="00000000" w:rsidR="00000000" w:rsidRPr="00000000">
              <w:rPr>
                <w:b w:val="1"/>
                <w:rtl w:val="0"/>
              </w:rPr>
              <w:t xml:space="preserve">kaloryfery w układach centralnego ogrzewania, grzejniki elektryczne oraz elementy instalacji grzewczej</w:t>
            </w:r>
            <w:r w:rsidDel="00000000" w:rsidR="00000000" w:rsidRPr="00000000">
              <w:rPr>
                <w:rtl w:val="0"/>
              </w:rPr>
              <w:t xml:space="preserve"> (w tym PCV). Farba przeznaczona jest do użytku </w:t>
            </w:r>
            <w:r w:rsidDel="00000000" w:rsidR="00000000" w:rsidRPr="00000000">
              <w:rPr>
                <w:b w:val="1"/>
                <w:rtl w:val="0"/>
              </w:rPr>
              <w:t xml:space="preserve">wewnątrz pomieszczeń</w:t>
            </w:r>
            <w:r w:rsidDel="00000000" w:rsidR="00000000" w:rsidRPr="00000000">
              <w:rPr>
                <w:rtl w:val="0"/>
              </w:rPr>
              <w:t xml:space="preserve">. </w:t>
            </w:r>
          </w:p>
          <w:p w:rsidR="00000000" w:rsidDel="00000000" w:rsidP="00000000" w:rsidRDefault="00000000" w:rsidRPr="00000000" w14:paraId="0000000A">
            <w:pPr>
              <w:widowControl w:val="0"/>
              <w:spacing w:line="240" w:lineRule="auto"/>
              <w:rPr/>
            </w:pPr>
            <w:r w:rsidDel="00000000" w:rsidR="00000000" w:rsidRPr="00000000">
              <w:rPr>
                <w:rtl w:val="0"/>
              </w:rPr>
            </w:r>
          </w:p>
          <w:p w:rsidR="00000000" w:rsidDel="00000000" w:rsidP="00000000" w:rsidRDefault="00000000" w:rsidRPr="00000000" w14:paraId="0000000B">
            <w:pPr>
              <w:widowControl w:val="0"/>
              <w:spacing w:line="240" w:lineRule="auto"/>
              <w:rPr/>
            </w:pPr>
            <w:r w:rsidDel="00000000" w:rsidR="00000000" w:rsidRPr="00000000">
              <w:rPr>
                <w:rtl w:val="0"/>
              </w:rPr>
              <w:t xml:space="preserve">Farbę można stosować bezpośrednio na malowaną lub niemalowaną powierzchnię (miedź, aluminium, PCV). </w:t>
            </w:r>
          </w:p>
          <w:p w:rsidR="00000000" w:rsidDel="00000000" w:rsidP="00000000" w:rsidRDefault="00000000" w:rsidRPr="00000000" w14:paraId="0000000C">
            <w:pPr>
              <w:widowControl w:val="0"/>
              <w:spacing w:line="240" w:lineRule="auto"/>
              <w:rPr/>
            </w:pPr>
            <w:r w:rsidDel="00000000" w:rsidR="00000000" w:rsidRPr="00000000">
              <w:rPr>
                <w:rtl w:val="0"/>
              </w:rPr>
            </w:r>
          </w:p>
          <w:p w:rsidR="00000000" w:rsidDel="00000000" w:rsidP="00000000" w:rsidRDefault="00000000" w:rsidRPr="00000000" w14:paraId="0000000D">
            <w:pPr>
              <w:widowControl w:val="0"/>
              <w:spacing w:line="240" w:lineRule="auto"/>
              <w:rPr>
                <w:sz w:val="16"/>
                <w:szCs w:val="16"/>
              </w:rPr>
            </w:pPr>
            <w:r w:rsidDel="00000000" w:rsidR="00000000" w:rsidRPr="00000000">
              <w:rPr>
                <w:rtl w:val="0"/>
              </w:rPr>
              <w:t xml:space="preserve">W przypadku stosowania na </w:t>
            </w:r>
            <w:r w:rsidDel="00000000" w:rsidR="00000000" w:rsidRPr="00000000">
              <w:rPr>
                <w:b w:val="1"/>
                <w:rtl w:val="0"/>
              </w:rPr>
              <w:t xml:space="preserve">podłoża stalowe wcześniej niemalowane</w:t>
            </w:r>
            <w:r w:rsidDel="00000000" w:rsidR="00000000" w:rsidRPr="00000000">
              <w:rPr>
                <w:rtl w:val="0"/>
              </w:rPr>
              <w:t xml:space="preserve">, po odsłonięciu starych powłok lub mocno skorodowane należy </w:t>
            </w:r>
            <w:r w:rsidDel="00000000" w:rsidR="00000000" w:rsidRPr="00000000">
              <w:rPr>
                <w:b w:val="1"/>
                <w:rtl w:val="0"/>
              </w:rPr>
              <w:t xml:space="preserve">zastosować wstępnie podkład antykorozyjny</w:t>
            </w:r>
            <w:r w:rsidDel="00000000" w:rsidR="00000000" w:rsidRPr="00000000">
              <w:rPr>
                <w:rtl w:val="0"/>
              </w:rPr>
              <w:t xml:space="preserve"> np. Dulux Professional Multiprimer lub Dulux Uniwersalny Grunt i Podkład.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rPr>
                <w:b w:val="1"/>
                <w:sz w:val="24"/>
                <w:szCs w:val="24"/>
              </w:rPr>
            </w:pPr>
            <w:r w:rsidDel="00000000" w:rsidR="00000000" w:rsidRPr="00000000">
              <w:rPr>
                <w:b w:val="1"/>
                <w:sz w:val="24"/>
                <w:szCs w:val="24"/>
                <w:rtl w:val="0"/>
              </w:rPr>
              <w:t xml:space="preserve">Właściwości i efekt dekoracyjny</w:t>
            </w:r>
          </w:p>
          <w:p w:rsidR="00000000" w:rsidDel="00000000" w:rsidP="00000000" w:rsidRDefault="00000000" w:rsidRPr="00000000" w14:paraId="0000000F">
            <w:pPr>
              <w:widowControl w:val="0"/>
              <w:spacing w:line="240" w:lineRule="auto"/>
              <w:rPr/>
            </w:pPr>
            <w:r w:rsidDel="00000000" w:rsidR="00000000" w:rsidRPr="00000000">
              <w:rPr>
                <w:rtl w:val="0"/>
              </w:rPr>
            </w:r>
          </w:p>
          <w:p w:rsidR="00000000" w:rsidDel="00000000" w:rsidP="00000000" w:rsidRDefault="00000000" w:rsidRPr="00000000" w14:paraId="00000010">
            <w:pPr>
              <w:widowControl w:val="0"/>
              <w:spacing w:line="240" w:lineRule="auto"/>
              <w:rPr/>
            </w:pPr>
            <w:r w:rsidDel="00000000" w:rsidR="00000000" w:rsidRPr="00000000">
              <w:rPr>
                <w:rtl w:val="0"/>
              </w:rPr>
              <w:t xml:space="preserve">Produkt charakteryzuje się </w:t>
            </w:r>
            <w:r w:rsidDel="00000000" w:rsidR="00000000" w:rsidRPr="00000000">
              <w:rPr>
                <w:b w:val="1"/>
                <w:rtl w:val="0"/>
              </w:rPr>
              <w:t xml:space="preserve">satynowym</w:t>
            </w:r>
            <w:r w:rsidDel="00000000" w:rsidR="00000000" w:rsidRPr="00000000">
              <w:rPr>
                <w:rtl w:val="0"/>
              </w:rPr>
              <w:t xml:space="preserve"> </w:t>
            </w:r>
            <w:r w:rsidDel="00000000" w:rsidR="00000000" w:rsidRPr="00000000">
              <w:rPr>
                <w:b w:val="1"/>
                <w:rtl w:val="0"/>
              </w:rPr>
              <w:t xml:space="preserve">wykończeniem</w:t>
            </w:r>
            <w:r w:rsidDel="00000000" w:rsidR="00000000" w:rsidRPr="00000000">
              <w:rPr>
                <w:rtl w:val="0"/>
              </w:rPr>
              <w:t xml:space="preserve">. </w:t>
            </w:r>
          </w:p>
          <w:p w:rsidR="00000000" w:rsidDel="00000000" w:rsidP="00000000" w:rsidRDefault="00000000" w:rsidRPr="00000000" w14:paraId="00000011">
            <w:pPr>
              <w:widowControl w:val="0"/>
              <w:spacing w:line="240" w:lineRule="auto"/>
              <w:rPr/>
            </w:pPr>
            <w:r w:rsidDel="00000000" w:rsidR="00000000" w:rsidRPr="00000000">
              <w:rPr>
                <w:rtl w:val="0"/>
              </w:rPr>
            </w:r>
          </w:p>
          <w:p w:rsidR="00000000" w:rsidDel="00000000" w:rsidP="00000000" w:rsidRDefault="00000000" w:rsidRPr="00000000" w14:paraId="00000012">
            <w:pPr>
              <w:widowControl w:val="0"/>
              <w:numPr>
                <w:ilvl w:val="0"/>
                <w:numId w:val="2"/>
              </w:numPr>
              <w:spacing w:line="240" w:lineRule="auto"/>
              <w:ind w:left="720" w:hanging="360"/>
            </w:pPr>
            <w:r w:rsidDel="00000000" w:rsidR="00000000" w:rsidRPr="00000000">
              <w:rPr>
                <w:b w:val="1"/>
                <w:rtl w:val="0"/>
              </w:rPr>
              <w:t xml:space="preserve">Odporność na działanie ciepł</w:t>
            </w:r>
            <w:r w:rsidDel="00000000" w:rsidR="00000000" w:rsidRPr="00000000">
              <w:rPr>
                <w:rtl w:val="0"/>
              </w:rPr>
              <w:t xml:space="preserve">a: odporna na wysoką temperaturę do +80°C - nadaje się do stosowania na powierzchniach ogrzewanych do malowania kaloryferów oraz elementów instalacji grzewczej, a zmiana stopnia połysku w czasie eksploatacji nie obniża w sposób istotny efektu dekoracyjnego.</w:t>
            </w:r>
          </w:p>
          <w:p w:rsidR="00000000" w:rsidDel="00000000" w:rsidP="00000000" w:rsidRDefault="00000000" w:rsidRPr="00000000" w14:paraId="00000013">
            <w:pPr>
              <w:widowControl w:val="0"/>
              <w:numPr>
                <w:ilvl w:val="0"/>
                <w:numId w:val="2"/>
              </w:numPr>
              <w:spacing w:line="240" w:lineRule="auto"/>
              <w:ind w:left="720" w:hanging="360"/>
            </w:pPr>
            <w:r w:rsidDel="00000000" w:rsidR="00000000" w:rsidRPr="00000000">
              <w:rPr>
                <w:b w:val="1"/>
                <w:rtl w:val="0"/>
              </w:rPr>
              <w:t xml:space="preserve">Odporność mechaniczna</w:t>
            </w:r>
            <w:r w:rsidDel="00000000" w:rsidR="00000000" w:rsidRPr="00000000">
              <w:rPr>
                <w:rtl w:val="0"/>
              </w:rPr>
              <w:t xml:space="preserve">: dobra odporność na uderzenia i zarysowania, bardzo dobra przyczepność do podłoża. </w:t>
            </w:r>
          </w:p>
          <w:p w:rsidR="00000000" w:rsidDel="00000000" w:rsidP="00000000" w:rsidRDefault="00000000" w:rsidRPr="00000000" w14:paraId="00000014">
            <w:pPr>
              <w:widowControl w:val="0"/>
              <w:spacing w:line="240" w:lineRule="auto"/>
              <w:rPr/>
            </w:pPr>
            <w:r w:rsidDel="00000000" w:rsidR="00000000" w:rsidRPr="00000000">
              <w:rPr>
                <w:rtl w:val="0"/>
              </w:rPr>
            </w:r>
          </w:p>
          <w:p w:rsidR="00000000" w:rsidDel="00000000" w:rsidP="00000000" w:rsidRDefault="00000000" w:rsidRPr="00000000" w14:paraId="00000015">
            <w:pPr>
              <w:widowControl w:val="0"/>
              <w:spacing w:line="240" w:lineRule="auto"/>
              <w:rPr>
                <w:sz w:val="18"/>
                <w:szCs w:val="18"/>
              </w:rPr>
            </w:pPr>
            <w:r w:rsidDel="00000000" w:rsidR="00000000" w:rsidRPr="00000000">
              <w:rPr>
                <w:b w:val="1"/>
                <w:rtl w:val="0"/>
              </w:rPr>
              <w:t xml:space="preserve">2w1</w:t>
            </w:r>
            <w:r w:rsidDel="00000000" w:rsidR="00000000" w:rsidRPr="00000000">
              <w:rPr>
                <w:rtl w:val="0"/>
              </w:rPr>
              <w:t xml:space="preserve"> - Podkład i Farba w jednym, trwałe kolory, szybkoschnąca - krótki czas tworzenia powłoki, niski poziom zapachu.</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pPr>
            <w:r w:rsidDel="00000000" w:rsidR="00000000" w:rsidRPr="00000000">
              <w:rPr>
                <w:b w:val="1"/>
                <w:sz w:val="24"/>
                <w:szCs w:val="24"/>
                <w:rtl w:val="0"/>
              </w:rPr>
              <w:t xml:space="preserve">Parametry techniczne i aplikacja</w:t>
            </w:r>
            <w:r w:rsidDel="00000000" w:rsidR="00000000" w:rsidRPr="00000000">
              <w:rPr>
                <w:rtl w:val="0"/>
              </w:rPr>
            </w:r>
          </w:p>
          <w:p w:rsidR="00000000" w:rsidDel="00000000" w:rsidP="00000000" w:rsidRDefault="00000000" w:rsidRPr="00000000" w14:paraId="00000018">
            <w:pPr>
              <w:widowControl w:val="0"/>
              <w:spacing w:after="120" w:before="240" w:line="240" w:lineRule="auto"/>
              <w:rPr/>
            </w:pPr>
            <w:r w:rsidDel="00000000" w:rsidR="00000000" w:rsidRPr="00000000">
              <w:rPr>
                <w:rtl w:val="0"/>
              </w:rPr>
              <w:t xml:space="preserve">Wydajność produktu wynosi </w:t>
            </w:r>
            <w:r w:rsidDel="00000000" w:rsidR="00000000" w:rsidRPr="00000000">
              <w:rPr>
                <w:b w:val="1"/>
                <w:rtl w:val="0"/>
              </w:rPr>
              <w:t xml:space="preserve">do 12m²/l przy jednokrotnym malowaniu</w:t>
            </w:r>
            <w:r w:rsidDel="00000000" w:rsidR="00000000" w:rsidRPr="00000000">
              <w:rPr>
                <w:rtl w:val="0"/>
              </w:rPr>
              <w:t xml:space="preserve"> na gładkiej, równej i odpowiednio przygotowanej powierzchni podłoża. </w:t>
            </w:r>
            <w:r w:rsidDel="00000000" w:rsidR="00000000" w:rsidRPr="00000000">
              <w:rPr>
                <w:b w:val="1"/>
                <w:rtl w:val="0"/>
              </w:rPr>
              <w:t xml:space="preserve">Zaleca się nakładanie 2 warstw farby</w:t>
            </w:r>
            <w:r w:rsidDel="00000000" w:rsidR="00000000" w:rsidRPr="00000000">
              <w:rPr>
                <w:rtl w:val="0"/>
              </w:rPr>
              <w:t xml:space="preserve">. </w:t>
            </w:r>
          </w:p>
          <w:p w:rsidR="00000000" w:rsidDel="00000000" w:rsidP="00000000" w:rsidRDefault="00000000" w:rsidRPr="00000000" w14:paraId="00000019">
            <w:pPr>
              <w:widowControl w:val="0"/>
              <w:numPr>
                <w:ilvl w:val="0"/>
                <w:numId w:val="1"/>
              </w:numPr>
              <w:spacing w:after="120" w:before="240" w:line="240" w:lineRule="auto"/>
              <w:ind w:left="720" w:hanging="360"/>
            </w:pPr>
            <w:r w:rsidDel="00000000" w:rsidR="00000000" w:rsidRPr="00000000">
              <w:rPr>
                <w:b w:val="1"/>
                <w:rtl w:val="0"/>
              </w:rPr>
              <w:t xml:space="preserve">Czas schnięcia</w:t>
            </w:r>
            <w:r w:rsidDel="00000000" w:rsidR="00000000" w:rsidRPr="00000000">
              <w:rPr>
                <w:rtl w:val="0"/>
              </w:rPr>
              <w:t xml:space="preserve">: powłoka sucha w dotyku - 2 godziny, do nakładania następnej warstwy - 6 godzin (dla pojedynczej warstwy, w temperaturze ok. +20°C i wilgotności względnej ok. 50%, przy dobrej wentylacji). Obniżenie temperatury i/lub wzrost wilgotności oraz rodzaj malowanego podłoża może wydłużyć czas schnięcia.</w:t>
            </w:r>
          </w:p>
          <w:p w:rsidR="00000000" w:rsidDel="00000000" w:rsidP="00000000" w:rsidRDefault="00000000" w:rsidRPr="00000000" w14:paraId="0000001A">
            <w:pPr>
              <w:widowControl w:val="0"/>
              <w:spacing w:after="120" w:before="240" w:line="240" w:lineRule="auto"/>
              <w:rPr/>
            </w:pPr>
            <w:r w:rsidDel="00000000" w:rsidR="00000000" w:rsidRPr="00000000">
              <w:rPr>
                <w:rtl w:val="0"/>
              </w:rPr>
              <w:t xml:space="preserve">Zalecane metody malowania to </w:t>
            </w:r>
            <w:r w:rsidDel="00000000" w:rsidR="00000000" w:rsidRPr="00000000">
              <w:rPr>
                <w:b w:val="1"/>
                <w:rtl w:val="0"/>
              </w:rPr>
              <w:t xml:space="preserve">pędzel</w:t>
            </w:r>
            <w:r w:rsidDel="00000000" w:rsidR="00000000" w:rsidRPr="00000000">
              <w:rPr>
                <w:rtl w:val="0"/>
              </w:rPr>
              <w:t xml:space="preserve"> (najlepszy efekt uzyskasz stosując pędzle o miękkim, sztucznym włosiu, przeznaczone do emalii wodnych) oraz </w:t>
            </w:r>
            <w:r w:rsidDel="00000000" w:rsidR="00000000" w:rsidRPr="00000000">
              <w:rPr>
                <w:b w:val="1"/>
                <w:rtl w:val="0"/>
              </w:rPr>
              <w:t xml:space="preserve">wałek</w:t>
            </w:r>
            <w:r w:rsidDel="00000000" w:rsidR="00000000" w:rsidRPr="00000000">
              <w:rPr>
                <w:rtl w:val="0"/>
              </w:rPr>
              <w:t xml:space="preserve"> (najlepszy efekt uzyskasz stosując wałki welurowe o długości runa 5-10mm). </w:t>
            </w:r>
            <w:r w:rsidDel="00000000" w:rsidR="00000000" w:rsidRPr="00000000">
              <w:rPr>
                <w:b w:val="1"/>
                <w:rtl w:val="0"/>
              </w:rPr>
              <w:t xml:space="preserve">Nie rozcieńczaj emalii, nakładaj 2 warstwy farby w odstępie 6 godzin od naniesienia poprzedniej warstwy</w:t>
            </w:r>
            <w:r w:rsidDel="00000000" w:rsidR="00000000" w:rsidRPr="00000000">
              <w:rPr>
                <w:rtl w:val="0"/>
              </w:rPr>
              <w:t xml:space="preserve">, nabieraj na wałek lub pędzel obfite i równomierne ilości farby, rozprowadzaj równomiernie tak, aby uzyskać jednolitą powłokę. Należy upewnić się, czy krawędzie i narożniki są dobrze pomalowane.</w:t>
            </w:r>
          </w:p>
          <w:p w:rsidR="00000000" w:rsidDel="00000000" w:rsidP="00000000" w:rsidRDefault="00000000" w:rsidRPr="00000000" w14:paraId="0000001B">
            <w:pPr>
              <w:widowControl w:val="0"/>
              <w:numPr>
                <w:ilvl w:val="0"/>
                <w:numId w:val="3"/>
              </w:numPr>
              <w:spacing w:after="120" w:before="240" w:line="240" w:lineRule="auto"/>
              <w:ind w:left="720" w:hanging="360"/>
            </w:pPr>
            <w:r w:rsidDel="00000000" w:rsidR="00000000" w:rsidRPr="00000000">
              <w:rPr>
                <w:b w:val="1"/>
                <w:rtl w:val="0"/>
              </w:rPr>
              <w:t xml:space="preserve">Warunki malowania</w:t>
            </w:r>
            <w:r w:rsidDel="00000000" w:rsidR="00000000" w:rsidRPr="00000000">
              <w:rPr>
                <w:rtl w:val="0"/>
              </w:rPr>
              <w:t xml:space="preserve">: temperatura otoczenia i malowanej powierzchni powinna być pomiędzy +10°C a +28°C, wilgotność względna powietrza powinna być niższa niż 80%, kaloryfery oraz elementy instalacji grzewczej maluj tylko wtedy, kiedy są zimne. Pomalowane powierzchnie pozostawić do wyschnięcia przez min. 48 godzin przed ponownym ogrzaniem kaloryfera. Zwiększanie temperatury powinno odbywać się stopniowo. Po włączeniu ogrzewania w pomieszczeniu należy zapewnić dobrą wentylację lub intensywnie wietrzyć do zaniku charakterystycznego zapachu.</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b w:val="1"/>
                <w:sz w:val="24"/>
                <w:szCs w:val="24"/>
              </w:rPr>
            </w:pPr>
            <w:r w:rsidDel="00000000" w:rsidR="00000000" w:rsidRPr="00000000">
              <w:rPr>
                <w:b w:val="1"/>
                <w:sz w:val="24"/>
                <w:szCs w:val="24"/>
                <w:rtl w:val="0"/>
              </w:rPr>
              <w:t xml:space="preserve">Przechowywanie</w:t>
            </w:r>
          </w:p>
          <w:p w:rsidR="00000000" w:rsidDel="00000000" w:rsidP="00000000" w:rsidRDefault="00000000" w:rsidRPr="00000000" w14:paraId="0000001E">
            <w:pPr>
              <w:widowControl w:val="0"/>
              <w:spacing w:line="240" w:lineRule="auto"/>
              <w:rPr/>
            </w:pPr>
            <w:r w:rsidDel="00000000" w:rsidR="00000000" w:rsidRPr="00000000">
              <w:rPr>
                <w:rtl w:val="0"/>
              </w:rPr>
            </w:r>
          </w:p>
          <w:p w:rsidR="00000000" w:rsidDel="00000000" w:rsidP="00000000" w:rsidRDefault="00000000" w:rsidRPr="00000000" w14:paraId="0000001F">
            <w:pPr>
              <w:widowControl w:val="0"/>
              <w:spacing w:line="240" w:lineRule="auto"/>
              <w:rPr>
                <w:sz w:val="16"/>
                <w:szCs w:val="16"/>
              </w:rPr>
            </w:pPr>
            <w:r w:rsidDel="00000000" w:rsidR="00000000" w:rsidRPr="00000000">
              <w:rPr>
                <w:rtl w:val="0"/>
              </w:rPr>
              <w:t xml:space="preserve">Przechowywać w oryginalnych i szczelnie zamkniętych opakowaniach, w temperaturze powyżej +5°C i poniżej +30°C, w pomieszczeniach zamkniętych, z dala od źródeł ciepła.</w:t>
            </w:r>
            <w:r w:rsidDel="00000000" w:rsidR="00000000" w:rsidRPr="00000000">
              <w:rPr>
                <w:rtl w:val="0"/>
              </w:rPr>
            </w:r>
          </w:p>
          <w:p w:rsidR="00000000" w:rsidDel="00000000" w:rsidP="00000000" w:rsidRDefault="00000000" w:rsidRPr="00000000" w14:paraId="00000020">
            <w:pPr>
              <w:widowControl w:val="0"/>
              <w:spacing w:line="240" w:lineRule="auto"/>
              <w:rPr/>
            </w:pPr>
            <w:r w:rsidDel="00000000" w:rsidR="00000000" w:rsidRPr="00000000">
              <w:rPr>
                <w:rtl w:val="0"/>
              </w:rPr>
            </w:r>
          </w:p>
          <w:p w:rsidR="00000000" w:rsidDel="00000000" w:rsidP="00000000" w:rsidRDefault="00000000" w:rsidRPr="00000000" w14:paraId="00000021">
            <w:pPr>
              <w:widowControl w:val="0"/>
              <w:spacing w:line="240" w:lineRule="auto"/>
              <w:rPr/>
            </w:pPr>
            <w:r w:rsidDel="00000000" w:rsidR="00000000" w:rsidRPr="00000000">
              <w:rPr>
                <w:b w:val="1"/>
                <w:rtl w:val="0"/>
              </w:rPr>
              <w:t xml:space="preserve">Uwaga!</w:t>
            </w:r>
            <w:r w:rsidDel="00000000" w:rsidR="00000000" w:rsidRPr="00000000">
              <w:rPr>
                <w:rtl w:val="0"/>
              </w:rPr>
              <w:t xml:space="preserve"> Produkt wodny. W temperaturach ujemnych ulega trwałemu uszkodzeniu. </w:t>
            </w:r>
          </w:p>
          <w:p w:rsidR="00000000" w:rsidDel="00000000" w:rsidP="00000000" w:rsidRDefault="00000000" w:rsidRPr="00000000" w14:paraId="00000022">
            <w:pPr>
              <w:widowControl w:val="0"/>
              <w:spacing w:line="240" w:lineRule="auto"/>
              <w:rPr/>
            </w:pPr>
            <w:r w:rsidDel="00000000" w:rsidR="00000000" w:rsidRPr="00000000">
              <w:rPr>
                <w:rtl w:val="0"/>
              </w:rPr>
            </w:r>
          </w:p>
          <w:p w:rsidR="00000000" w:rsidDel="00000000" w:rsidP="00000000" w:rsidRDefault="00000000" w:rsidRPr="00000000" w14:paraId="00000023">
            <w:pPr>
              <w:widowControl w:val="0"/>
              <w:spacing w:line="240" w:lineRule="auto"/>
              <w:rPr/>
            </w:pPr>
            <w:r w:rsidDel="00000000" w:rsidR="00000000" w:rsidRPr="00000000">
              <w:rPr>
                <w:b w:val="1"/>
                <w:rtl w:val="0"/>
              </w:rPr>
              <w:t xml:space="preserve">Okres przydatności</w:t>
            </w:r>
            <w:r w:rsidDel="00000000" w:rsidR="00000000" w:rsidRPr="00000000">
              <w:rPr>
                <w:rtl w:val="0"/>
              </w:rPr>
              <w:t xml:space="preserve">: 4 lata od daty produkcji.</w:t>
            </w:r>
          </w:p>
          <w:p w:rsidR="00000000" w:rsidDel="00000000" w:rsidP="00000000" w:rsidRDefault="00000000" w:rsidRPr="00000000" w14:paraId="00000024">
            <w:pPr>
              <w:widowControl w:val="0"/>
              <w:spacing w:line="240" w:lineRule="auto"/>
              <w:rPr/>
            </w:pPr>
            <w:r w:rsidDel="00000000" w:rsidR="00000000" w:rsidRPr="00000000">
              <w:rPr>
                <w:rtl w:val="0"/>
              </w:rPr>
            </w:r>
          </w:p>
          <w:p w:rsidR="00000000" w:rsidDel="00000000" w:rsidP="00000000" w:rsidRDefault="00000000" w:rsidRPr="00000000" w14:paraId="00000025">
            <w:pPr>
              <w:widowControl w:val="0"/>
              <w:spacing w:line="240" w:lineRule="auto"/>
              <w:rPr>
                <w:sz w:val="20"/>
                <w:szCs w:val="20"/>
              </w:rPr>
            </w:pPr>
            <w:r w:rsidDel="00000000" w:rsidR="00000000" w:rsidRPr="00000000">
              <w:rPr>
                <w:rtl w:val="0"/>
              </w:rPr>
              <w:t xml:space="preserve">Dostępna kolorystyka: 3 kolory - sprawdź na naszych pozostałych ofertach.</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rPr/>
            </w:pPr>
            <w:r w:rsidDel="00000000" w:rsidR="00000000" w:rsidRPr="00000000">
              <w:rPr>
                <w:rtl w:val="0"/>
              </w:rPr>
            </w:r>
          </w:p>
        </w:tc>
      </w:tr>
    </w:tbl>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